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C3" w:rsidRDefault="000B7962">
      <w:pPr>
        <w:spacing w:line="216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КОМПЛЕКСНЫЙ ПЛАН</w:t>
      </w:r>
    </w:p>
    <w:p w:rsidR="00FE76C3" w:rsidRDefault="000B7962">
      <w:pPr>
        <w:pStyle w:val="Standard"/>
        <w:widowControl w:val="0"/>
        <w:spacing w:line="21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реализации Стратегии развития некоммерческого негосударственного </w:t>
      </w:r>
    </w:p>
    <w:p w:rsidR="00FE76C3" w:rsidRDefault="000B7962">
      <w:pPr>
        <w:pStyle w:val="Standard"/>
        <w:widowControl w:val="0"/>
        <w:spacing w:line="21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 ориентированного сектора Ростовской области на период до 2030 года</w:t>
      </w:r>
    </w:p>
    <w:p w:rsidR="00FE76C3" w:rsidRDefault="00FE76C3">
      <w:pPr>
        <w:spacing w:line="21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4629"/>
        <w:gridCol w:w="5085"/>
        <w:gridCol w:w="1602"/>
        <w:gridCol w:w="3513"/>
      </w:tblGrid>
      <w:tr w:rsidR="00FE76C3">
        <w:trPr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Срок реализации </w:t>
            </w:r>
            <w:r>
              <w:rPr>
                <w:spacing w:val="-14"/>
                <w:sz w:val="28"/>
              </w:rPr>
              <w:t>мероприятий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</w:tr>
    </w:tbl>
    <w:p w:rsidR="00FE76C3" w:rsidRDefault="00FE76C3">
      <w:pPr>
        <w:spacing w:line="216" w:lineRule="auto"/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4629"/>
        <w:gridCol w:w="5092"/>
        <w:gridCol w:w="1596"/>
        <w:gridCol w:w="3512"/>
      </w:tblGrid>
      <w:tr w:rsidR="00FE76C3">
        <w:trPr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E76C3">
        <w:tc>
          <w:tcPr>
            <w:tcW w:w="1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I этап (2026–2027 годы) – формирование и развитие нормативных, организационных, информационных и ресурсных условий реализации Стратегии, апробация приоритетных механизмов поддержки.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 xml:space="preserve">Актуализация муниципальных </w:t>
            </w:r>
            <w:r>
              <w:rPr>
                <w:sz w:val="28"/>
              </w:rPr>
              <w:t>программ поддержки СО НКО с применением типовых решений и рекомендаций, подготовленных на региональном уровне.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Подготовлены и доведены типовые рекомендации; актуализированы муниципальные программы (в части мер поддержки и порядка взаимодействия с СО НКО).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2026–2027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pacing w:val="-10"/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органы местного самоуправления Ростовской области.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организационных механизмов предоставления мер поддержки на региональном и муниципальном уровнях, определение должностных лиц </w:t>
            </w:r>
            <w:r>
              <w:rPr>
                <w:sz w:val="28"/>
              </w:rPr>
              <w:t>и (или) структурных подразделений, ответственных за взаимодействие с СО НКО, обеспечение регулярного мониторинга применения мер поддержки и их результативности.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Определены ответственные за взаимодействие с СО НКО; утверждены (актуализированы) регламенты (п</w:t>
            </w:r>
            <w:r>
              <w:rPr>
                <w:sz w:val="28"/>
              </w:rPr>
              <w:t>орядки) взаимодействия и предоставления мер поддержки СО НКО на муниципальном уровне.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 Ростовской области; Министерство региональной политики Ростовской области.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имущественной поддержки СО НКО: прове</w:t>
            </w:r>
            <w:r>
              <w:rPr>
                <w:sz w:val="28"/>
              </w:rPr>
              <w:t xml:space="preserve">дение инвентаризации имущества, формирование и опубликование перечней помещений и (или) объектов инфраструктуры, которые могут предоставляться СО НКО, утверждение процедур предоставления на льготных </w:t>
            </w:r>
            <w:r>
              <w:rPr>
                <w:sz w:val="28"/>
              </w:rPr>
              <w:lastRenderedPageBreak/>
              <w:t>условиях, внедрение единообразных требований к прозрачнос</w:t>
            </w:r>
            <w:r>
              <w:rPr>
                <w:sz w:val="28"/>
              </w:rPr>
              <w:t>ти и процедуре принятия решений.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Проведена инвентаризация имущества. Опубликованы перечни объектов имущественной поддержки; действуют утвержденные процедуры предоставления; обеспечена сопоставимость подходов на территории муниципальных образований.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2026–20</w:t>
            </w:r>
            <w:r>
              <w:rPr>
                <w:sz w:val="28"/>
              </w:rPr>
              <w:t>27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Органы местного самоуправления Ростовской области; Министерство имущественных и земельных отношений, финансового оздоровления предприятий, организаций Ростовской области; Министерство </w:t>
            </w:r>
            <w:r>
              <w:rPr>
                <w:sz w:val="28"/>
              </w:rPr>
              <w:lastRenderedPageBreak/>
              <w:t>региональной политики Ростовской области.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имущественной </w:t>
            </w:r>
            <w:r>
              <w:rPr>
                <w:sz w:val="28"/>
              </w:rPr>
              <w:t>поддержки СО НКО путем безвозмездного предоставления помещений и объектов инфраструктуры СО НКО для проведения краткосрочных мероприятий.</w:t>
            </w:r>
          </w:p>
          <w:p w:rsidR="00FE76C3" w:rsidRDefault="00FE76C3">
            <w:pPr>
              <w:spacing w:line="216" w:lineRule="auto"/>
              <w:jc w:val="both"/>
              <w:rPr>
                <w:sz w:val="28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 регламент краткосрочного предоставления помещений и объектов инфраструктуры, находящихся в ведении органов исполнительной </w:t>
            </w:r>
            <w:proofErr w:type="spellStart"/>
            <w:r>
              <w:rPr>
                <w:sz w:val="28"/>
              </w:rPr>
              <w:t>влести</w:t>
            </w:r>
            <w:proofErr w:type="spellEnd"/>
            <w:r>
              <w:rPr>
                <w:sz w:val="28"/>
              </w:rPr>
              <w:t xml:space="preserve"> Ростовской области, подведомственных учреждений и органов местного самоуправления, для проведения мероприятий СО НКО </w:t>
            </w:r>
            <w:r>
              <w:rPr>
                <w:sz w:val="28"/>
              </w:rPr>
              <w:t xml:space="preserve">(срок подачи заявки, форма заявки, порядок рассмотрения, порядок оформления / предоставления). Определены ответственные контактные лица и единый порядок направления заявок. Информация о форме поддержки размещена на официальных ресурсах.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2026–2027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Министер</w:t>
            </w:r>
            <w:r>
              <w:rPr>
                <w:sz w:val="28"/>
              </w:rPr>
              <w:t>ство региональной политики; органы исполнительной власти Ростовской области и подведомственные учреждения - балансодержатели объектов; органы местного самоуправления и муниципальные учреждения - балансодержатели объектов.</w:t>
            </w:r>
          </w:p>
          <w:p w:rsidR="00FE76C3" w:rsidRDefault="00FE76C3">
            <w:pPr>
              <w:spacing w:line="216" w:lineRule="auto"/>
              <w:jc w:val="center"/>
              <w:rPr>
                <w:sz w:val="28"/>
              </w:rPr>
            </w:pP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цифровых механизмов </w:t>
            </w:r>
            <w:r>
              <w:rPr>
                <w:sz w:val="28"/>
              </w:rPr>
              <w:t xml:space="preserve">предоставления мер поддержки: </w:t>
            </w:r>
          </w:p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использования электронного документооборота, развитие цифровых сервисов сопровождения получателей поддержки.</w:t>
            </w:r>
          </w:p>
          <w:p w:rsidR="00FE76C3" w:rsidRDefault="00FE76C3">
            <w:pPr>
              <w:spacing w:line="216" w:lineRule="auto"/>
              <w:jc w:val="both"/>
              <w:rPr>
                <w:sz w:val="28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Обеспечено использование электронного документооборота при предоставлении поддержки; расширен функционал</w:t>
            </w:r>
            <w:r>
              <w:rPr>
                <w:sz w:val="28"/>
              </w:rPr>
              <w:t xml:space="preserve"> цифровых сервисов сопровождения получателей поддержки, цифровой платформы конкурса грантов Губернатора Ростовской области.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2026–2027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органы исполнительной власти Ростовской области (в пределах компете</w:t>
            </w:r>
            <w:r>
              <w:rPr>
                <w:sz w:val="28"/>
              </w:rPr>
              <w:t>нции); АНО «Агентство развития гражданских инициатив Ростовской области».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доступности информации о мерах поддержки и порядке ее получения, модернизация единой информационной платформы с доступом к контактам ресурсных центров, методическим </w:t>
            </w:r>
            <w:r>
              <w:rPr>
                <w:sz w:val="28"/>
              </w:rPr>
              <w:t>материалам.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Актуализирована и структурирована информация о мерах поддержки; обеспечена доступность контактных данных и методических материалов для СО НКО и инициативных групп.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2026–2027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ресурсные центр</w:t>
            </w:r>
            <w:r>
              <w:rPr>
                <w:sz w:val="28"/>
              </w:rPr>
              <w:t>ы поддержки СО НКО.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системной правовой и методической поддержки СО НКО: подготовка типовых документов, методических материалов и разъяснений по вопросам отчетности, договорной работы, участия в конкурсах, развитие консультационных форматов.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Подготовлен комплект типовых документов и методических материалов; обеспечена регулярная консультационная поддержка по вопросам отчетности, договорной работы, участия в конкурсах.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2026–2027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Главное уп</w:t>
            </w:r>
            <w:r>
              <w:rPr>
                <w:sz w:val="28"/>
              </w:rPr>
              <w:t>равление Министерства юстиции Российской Федерации по Ростовской области; АНО «Агентство развития гражданских инициатив Ростовской области»; Общественная палата Ростовской области; ресурсные центры поддержки СО НКО.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системы подготовки и </w:t>
            </w:r>
            <w:r>
              <w:rPr>
                <w:sz w:val="28"/>
              </w:rPr>
              <w:t>повышения квалификации руководителей и специалистов СО НКО, а также специалистов исполнительных органов власти и органов местного самоуправления Ростовской области, ответственных за взаимодействие с некоммерческом сектором.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Разработаны и реализованы програ</w:t>
            </w:r>
            <w:r>
              <w:rPr>
                <w:sz w:val="28"/>
              </w:rPr>
              <w:t>ммы обучения (управление, социальное проектирование, пожертвования, коммуникации, правовые вопросы, цифровые компетенции); обеспечено участие специалистов исполнительных органов власти и органов местного самоуправления Ростовской области.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2026–2029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Министе</w:t>
            </w:r>
            <w:r>
              <w:rPr>
                <w:sz w:val="28"/>
              </w:rPr>
              <w:t>рство региональной политики Ростовской области; органы исполнительной власти и органы местного самоуправления Ростовской области; ресурсные центры поддержки СО НКО.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Развитие информационной поддержки деятельности СО НКО, формирование механизмов продвиже</w:t>
            </w:r>
            <w:r>
              <w:rPr>
                <w:sz w:val="28"/>
              </w:rPr>
              <w:t>ния лучших практик и повышения публичной представленности некоммерческого сектора, развитие партнерских коммуникационных форматов.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Организованы регулярные коммуникационные мероприятия и публикации; обеспечено продвижение лучших практик и результатов общест</w:t>
            </w:r>
            <w:r>
              <w:rPr>
                <w:sz w:val="28"/>
              </w:rPr>
              <w:t>венно полезных программ.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2026–2027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АНО «Агентство развития гражданских инициатив Ростовской области»; Общественная палата Ростовской области.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условий для функционирования сети инфраст</w:t>
            </w:r>
            <w:r>
              <w:rPr>
                <w:sz w:val="28"/>
              </w:rPr>
              <w:t xml:space="preserve">руктуры поддержки СО НКО </w:t>
            </w:r>
            <w:r>
              <w:rPr>
                <w:sz w:val="28"/>
              </w:rPr>
              <w:lastRenderedPageBreak/>
              <w:t>в муниципальных образованиях: определение форматов сопровождения на местах и закрепление «точек входа» для НКО и инициативных групп.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lastRenderedPageBreak/>
              <w:t xml:space="preserve">Определены форматы консультационного, организационного и образовательного сопровождения на </w:t>
            </w:r>
            <w:r>
              <w:rPr>
                <w:sz w:val="28"/>
              </w:rPr>
              <w:lastRenderedPageBreak/>
              <w:t>местах;</w:t>
            </w:r>
            <w:r>
              <w:rPr>
                <w:sz w:val="28"/>
              </w:rPr>
              <w:t xml:space="preserve"> обеспечена доступность инфраструктуры поддержки в муниципальных образованиях.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lastRenderedPageBreak/>
              <w:t>2026–2027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 xml:space="preserve">Министерство региональной политики Ростовской области; органы </w:t>
            </w:r>
            <w:r>
              <w:rPr>
                <w:sz w:val="28"/>
              </w:rPr>
              <w:lastRenderedPageBreak/>
              <w:t>местного самоуправления Ростовской области; ресурсные центры поддержки СО НКО.</w:t>
            </w:r>
          </w:p>
        </w:tc>
      </w:tr>
      <w:tr w:rsidR="00FE76C3">
        <w:tc>
          <w:tcPr>
            <w:tcW w:w="1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II этап (2028–2029 годы) </w:t>
            </w:r>
            <w:r>
              <w:rPr>
                <w:sz w:val="28"/>
              </w:rPr>
              <w:t>– расширение охвата и тиражирование апробированных механизмов, интеграция участия СО НКО в реализацию региональных и муниципальных программ.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Расширение охвата муниципальных образований Ростовской области единообразными организационными механизмами </w:t>
            </w:r>
            <w:r>
              <w:rPr>
                <w:sz w:val="28"/>
              </w:rPr>
              <w:t>взаимодействия с СО НКО и предоставления мер поддержки, обеспечение сопоставимого уровня доступности базовых мер поддержки на территории Ростовской области.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Обеспечено внедрение единообразных организационных механизмов в муниципальных образованиях; снижена</w:t>
            </w:r>
            <w:r>
              <w:rPr>
                <w:sz w:val="28"/>
              </w:rPr>
              <w:t xml:space="preserve"> территориальная дифференциация доступности базовых мер поддержки.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2028–2029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органы местного самоуправления Ростовской области.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механизмов привлечения внебюджетных средств в сектор: </w:t>
            </w:r>
            <w:r>
              <w:rPr>
                <w:sz w:val="28"/>
              </w:rPr>
              <w:t>стимулирование регулярных пожертвований граждан, расширение практик социального партнерства с бизнесом, развитие корпоративного добровольчества, внедрение устойчивых моделей совместной реализации социальных проектов.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Расширены практики социального партнерс</w:t>
            </w:r>
            <w:r>
              <w:rPr>
                <w:sz w:val="28"/>
              </w:rPr>
              <w:t>тва и корпоративного добровольчества; обеспечена положительная динамика привлечения средств из негосударственных источников.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2028–2029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 xml:space="preserve">Министерство региональной политики Ростовской области; органы исполнительной власти Ростовской области, реализующие меры </w:t>
            </w:r>
            <w:r>
              <w:rPr>
                <w:sz w:val="28"/>
              </w:rPr>
              <w:t xml:space="preserve">поддержки СО НКО и осуществляющие взаимодействие с некоммерческим сектором по соответствующим направлениям государственной политики; органы местного самоуправления Ростовской области; Общественная палата Ростовской области; бизнес-сообщество (в </w:t>
            </w:r>
            <w:r>
              <w:rPr>
                <w:sz w:val="28"/>
              </w:rPr>
              <w:lastRenderedPageBreak/>
              <w:t>рамках парт</w:t>
            </w:r>
            <w:r>
              <w:rPr>
                <w:sz w:val="28"/>
              </w:rPr>
              <w:t>нерских проектов).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Развитие практик участия СО НКО в закупках и иных конкурентных механизмах доступа к оказанию услуг: анализ барьеров, подготовка и внедрение методических рекомендаций, обучение заказчиков и СО НКО.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Подготовлены и внедрены методически</w:t>
            </w:r>
            <w:r>
              <w:rPr>
                <w:sz w:val="28"/>
              </w:rPr>
              <w:t>е рекомендации; проведены обучающие мероприятия для заказчиков и СО НКО; расширено участие СО НКО в конкурентных механизмах доступа к оказанию услуг.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2028–2029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Органы исполнительной власти Ростовской области, реализующие меры поддержки СО НКО и </w:t>
            </w:r>
            <w:r>
              <w:rPr>
                <w:sz w:val="28"/>
              </w:rPr>
              <w:t>осуществляющие взаимодействие с некоммерческим сектором по соответствующим направлениям государственной политики; Министерство региональной политики Ростовской области; ресурсные центры поддержки СО НКО.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Развитие и актуализация инструментов оценки и с</w:t>
            </w:r>
            <w:r>
              <w:rPr>
                <w:sz w:val="28"/>
              </w:rPr>
              <w:t>тимулирования деятельности муниципальных образований в сфере поддержки СО НКО (включая методику рейтинговых и мониторинговых механизмов) с учетом показателей результативности и фактической вовлеченности сектора.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Актуализирована методика оценки рейтинга мун</w:t>
            </w:r>
            <w:r>
              <w:rPr>
                <w:sz w:val="28"/>
              </w:rPr>
              <w:t>иципальных образований в сфере поддержки СО НКО; результаты используются для распространения практик и принятия управленческих решений.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2028–2029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органы местного самоуправления Ростовской области; Обще</w:t>
            </w:r>
            <w:r>
              <w:rPr>
                <w:sz w:val="28"/>
              </w:rPr>
              <w:t>ственная палата Ростовской области.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кадрового потенциала и добровольчества: расширение программ обучения, наставничества и обмена практиками, развитие инфраструктурных решений по сопровождению добровольцев, внедрение мер профилактики </w:t>
            </w:r>
            <w:r>
              <w:rPr>
                <w:sz w:val="28"/>
              </w:rPr>
              <w:lastRenderedPageBreak/>
              <w:t>професси</w:t>
            </w:r>
            <w:r>
              <w:rPr>
                <w:sz w:val="28"/>
              </w:rPr>
              <w:t>онального выгорания в организациях, работающих в социально чувствительных сферах.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lastRenderedPageBreak/>
              <w:t>Расширены программы обучения и наставничества; внедрены меры профилактики профессионального выгорания; обеспечено сопровождение добровольцев.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2028–2029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Министерство региональ</w:t>
            </w:r>
            <w:r>
              <w:rPr>
                <w:sz w:val="28"/>
              </w:rPr>
              <w:t>ной политики Ростовской области; органы местного самоуправления Ростовской области; ресурсные центры поддержки СО НКО.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Совершенствование инструментов мониторинга и оценки реализации Стратегии: развитие системы показателей, актуализация методики </w:t>
            </w:r>
            <w:r>
              <w:rPr>
                <w:sz w:val="28"/>
              </w:rPr>
              <w:t>рейтинговых и мониторинговых механизмов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Обеспечено развитие системы показателей реализации Стратегии; актуализированы методики рейтинговых и мониторинговых механизмов; обеспечено регулярное формирование и представление информации о ходе реализации Стратеги</w:t>
            </w:r>
            <w:r>
              <w:rPr>
                <w:sz w:val="28"/>
              </w:rPr>
              <w:t>и и достижении целевых показателей.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2028-2029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органы исполнительной власти Ростовской области, реализующие меры поддержки СО НКО и осуществляющие взаимодействие с некоммерческим сектором по соответству</w:t>
            </w:r>
            <w:r>
              <w:rPr>
                <w:sz w:val="28"/>
              </w:rPr>
              <w:t>ющим направлениям государственной политики; органы местного самоуправления Ростовской области; Общественная палата Ростовской области; ресурсные центры поддержки СО НКО.</w:t>
            </w:r>
          </w:p>
        </w:tc>
      </w:tr>
      <w:tr w:rsidR="00FE76C3">
        <w:tc>
          <w:tcPr>
            <w:tcW w:w="1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III этап (2030 год) – закрепление устойчивых практик, итоговая оценка результатов реа</w:t>
            </w:r>
            <w:r>
              <w:rPr>
                <w:sz w:val="28"/>
              </w:rPr>
              <w:t xml:space="preserve">лизации Стратегии </w:t>
            </w:r>
          </w:p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и подготовка предложений по дальнейшему развитию мер поддержки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Закрепление устойчивых механизмов поддержки и взаимодействия органов исполнительной власти Ростовской области, органов местного самоуправления и СО НКО.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Актуализированы </w:t>
            </w:r>
            <w:r>
              <w:rPr>
                <w:sz w:val="28"/>
              </w:rPr>
              <w:t>и применяются на постоянной основе регламенты/порядки предоставления ключевых мер поддержки СО НКО (финансовых, имущественных, информационных) и организационные механизмы взаимодействия на региональном и муниципальном уровнях; обеспечено ведение и актуализ</w:t>
            </w:r>
            <w:r>
              <w:rPr>
                <w:sz w:val="28"/>
              </w:rPr>
              <w:t xml:space="preserve">ация в открытом доступе сведений о мерах поддержки, </w:t>
            </w:r>
            <w:r>
              <w:rPr>
                <w:sz w:val="28"/>
              </w:rPr>
              <w:lastRenderedPageBreak/>
              <w:t>инфраструктуре поддержки и «точках входа» для СО НКО и инициативных групп.</w:t>
            </w:r>
          </w:p>
          <w:p w:rsidR="00FE76C3" w:rsidRDefault="00FE76C3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lastRenderedPageBreak/>
              <w:t>2030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органы исполнительной власти Ростовской области, реализующие меры по</w:t>
            </w:r>
            <w:r>
              <w:rPr>
                <w:sz w:val="28"/>
              </w:rPr>
              <w:t xml:space="preserve">ддержки СО НКО и осуществляющие взаимодействие с некоммерческим сектором </w:t>
            </w:r>
            <w:r>
              <w:rPr>
                <w:sz w:val="28"/>
              </w:rPr>
              <w:lastRenderedPageBreak/>
              <w:t>по соответствующим направлениям государственной политики; органы местного самоуправления Ростовской области; Общественная палата Ростовской области; ресурсные центры поддержки СО НКО.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ind w:firstLine="35"/>
              <w:jc w:val="both"/>
              <w:rPr>
                <w:sz w:val="28"/>
              </w:rPr>
            </w:pPr>
            <w:r>
              <w:rPr>
                <w:sz w:val="28"/>
              </w:rPr>
              <w:t>Проведение итоговой оценки результативности реализации Стратегии, подготовка обобщенного доклада о результатах и предложений по дальнейшему развитию мер поддержки СО НКО на период после 2030 года;</w:t>
            </w:r>
          </w:p>
          <w:p w:rsidR="00FE76C3" w:rsidRDefault="00FE76C3">
            <w:pPr>
              <w:spacing w:line="216" w:lineRule="auto"/>
              <w:jc w:val="both"/>
              <w:rPr>
                <w:sz w:val="28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Проведена итоговая оценка реализации Стратегии по целевым показателям (индикаторам) и мероприятиям плана; подготовлен и оформлен обобщенный доклад о результатах реализации Стратегии до 2030 года (с выводами о достигнутых результатах, проблемных зонах и пре</w:t>
            </w:r>
            <w:r>
              <w:rPr>
                <w:sz w:val="28"/>
              </w:rPr>
              <w:t>дложениями по корректировке подходов); доклад направлен в Правительство Ростовской области и размещен на официальном ресурсе уполномоченного органа.</w:t>
            </w:r>
          </w:p>
          <w:p w:rsidR="00FE76C3" w:rsidRDefault="00FE76C3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color w:val="EE0000"/>
                <w:sz w:val="28"/>
              </w:rPr>
            </w:pPr>
            <w:r>
              <w:rPr>
                <w:sz w:val="28"/>
              </w:rPr>
              <w:t>2030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органы исполнительной власти Ростовской област</w:t>
            </w:r>
            <w:r>
              <w:rPr>
                <w:sz w:val="28"/>
              </w:rPr>
              <w:t>и, реализующие меры поддержки СО НКО и осуществляющие взаимодействие с некоммерческим сектором по соответствующим направлениям государственной политики; органы местного самоуправления Ростовской области; Общественная палата Ростовской области; ресурсные це</w:t>
            </w:r>
            <w:r>
              <w:rPr>
                <w:sz w:val="28"/>
              </w:rPr>
              <w:t>нтры поддержки СО НКО.</w:t>
            </w:r>
          </w:p>
        </w:tc>
      </w:tr>
      <w:tr w:rsidR="00FE76C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предложений по дальнейшему развитию мер поддержки СО НКО на период после 2030 года с учетом результатов оценки и выявленных потребностей.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Сформирован пакет предложений по мерам поддержки СО НКО на период после 2030 года по ключевым направлениям Стратегии (ресурсная и имущественная поддержка, участие в услугах и программах, муниципальные </w:t>
            </w:r>
            <w:r>
              <w:rPr>
                <w:sz w:val="28"/>
              </w:rPr>
              <w:lastRenderedPageBreak/>
              <w:t>механизмы, кадры и добровольчество, информационная откр</w:t>
            </w:r>
            <w:r>
              <w:rPr>
                <w:sz w:val="28"/>
              </w:rPr>
              <w:t>ытость и участие граждан); предложения оформлены в виде концептуальных подходов и перечня приоритетных мероприятий до 2035 года (с указанием ответственных и источников данных, использованных при подготовке); предложения направлены в Правительство Ростовско</w:t>
            </w:r>
            <w:r>
              <w:rPr>
                <w:sz w:val="28"/>
              </w:rPr>
              <w:t>й области в установленном порядке.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2030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региональной политики Ростовской области; органы исполнительной власти</w:t>
            </w:r>
            <w:r>
              <w:rPr>
                <w:sz w:val="28"/>
              </w:rPr>
              <w:t xml:space="preserve"> Ростовской области, реализующие меры </w:t>
            </w:r>
            <w:r>
              <w:rPr>
                <w:sz w:val="28"/>
              </w:rPr>
              <w:lastRenderedPageBreak/>
              <w:t>поддержки СО НКО и осуществляющие взаимодействие с некоммерческим сектором по соответствующим направлениям государственной политики; органы местного самоуправления Ростовской области; Общественная палата Ростовской обл</w:t>
            </w:r>
            <w:r>
              <w:rPr>
                <w:sz w:val="28"/>
              </w:rPr>
              <w:t>асти; ресурсные центры поддержки СО НКО.</w:t>
            </w:r>
          </w:p>
        </w:tc>
      </w:tr>
    </w:tbl>
    <w:p w:rsidR="00FE76C3" w:rsidRDefault="00FE76C3">
      <w:pPr>
        <w:spacing w:line="216" w:lineRule="auto"/>
        <w:rPr>
          <w:sz w:val="16"/>
        </w:rPr>
      </w:pPr>
    </w:p>
    <w:p w:rsidR="00FE76C3" w:rsidRDefault="000B7962">
      <w:pPr>
        <w:spacing w:line="216" w:lineRule="auto"/>
        <w:jc w:val="center"/>
        <w:rPr>
          <w:sz w:val="28"/>
        </w:rPr>
      </w:pPr>
      <w:r>
        <w:rPr>
          <w:sz w:val="28"/>
        </w:rPr>
        <w:t>ПОКАЗАТЕЛИ</w:t>
      </w:r>
    </w:p>
    <w:p w:rsidR="00FE76C3" w:rsidRDefault="000B7962">
      <w:pPr>
        <w:pStyle w:val="Standard"/>
        <w:widowControl w:val="0"/>
        <w:spacing w:line="21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Стратегии развития некоммерческого негосударственного социально ориентированного сектора</w:t>
      </w:r>
    </w:p>
    <w:p w:rsidR="00FE76C3" w:rsidRDefault="000B7962">
      <w:pPr>
        <w:pStyle w:val="Standard"/>
        <w:widowControl w:val="0"/>
        <w:spacing w:line="21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 на период до 2030 года</w:t>
      </w:r>
    </w:p>
    <w:p w:rsidR="00FE76C3" w:rsidRDefault="00FE76C3">
      <w:pPr>
        <w:spacing w:line="216" w:lineRule="auto"/>
        <w:jc w:val="center"/>
        <w:rPr>
          <w:sz w:val="18"/>
        </w:rPr>
      </w:pPr>
    </w:p>
    <w:tbl>
      <w:tblPr>
        <w:tblStyle w:val="af8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8254"/>
        <w:gridCol w:w="1371"/>
        <w:gridCol w:w="1086"/>
        <w:gridCol w:w="1095"/>
        <w:gridCol w:w="1035"/>
        <w:gridCol w:w="1020"/>
        <w:gridCol w:w="1065"/>
      </w:tblGrid>
      <w:tr w:rsidR="00FE76C3">
        <w:tc>
          <w:tcPr>
            <w:tcW w:w="549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371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086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 г.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7 г.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 г.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2029 г. 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2030 г.</w:t>
            </w:r>
          </w:p>
        </w:tc>
      </w:tr>
    </w:tbl>
    <w:p w:rsidR="00FE76C3" w:rsidRDefault="00FE76C3">
      <w:pPr>
        <w:spacing w:line="216" w:lineRule="auto"/>
        <w:rPr>
          <w:sz w:val="12"/>
        </w:rPr>
      </w:pPr>
    </w:p>
    <w:tbl>
      <w:tblPr>
        <w:tblStyle w:val="af8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0"/>
        <w:gridCol w:w="8254"/>
        <w:gridCol w:w="1365"/>
        <w:gridCol w:w="1095"/>
        <w:gridCol w:w="1095"/>
        <w:gridCol w:w="1035"/>
        <w:gridCol w:w="1020"/>
        <w:gridCol w:w="1065"/>
      </w:tblGrid>
      <w:tr w:rsidR="00FE76C3">
        <w:trPr>
          <w:trHeight w:val="200"/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FE76C3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FE76C3">
            <w:pPr>
              <w:spacing w:line="216" w:lineRule="auto"/>
              <w:jc w:val="center"/>
              <w:rPr>
                <w:sz w:val="28"/>
              </w:rPr>
            </w:pPr>
          </w:p>
        </w:tc>
      </w:tr>
      <w:tr w:rsidR="00FE76C3">
        <w:trPr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Уровень информированности населения Ростовской области деятельностью некоммерческих организаций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  <w:tr w:rsidR="00FE76C3">
        <w:trPr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Доля граждан, позитивно оценивающих деятельность институтов гражданского общества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FE76C3">
        <w:trPr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общее количество СО НКО в Ростовской области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</w:tr>
      <w:tr w:rsidR="00FE76C3">
        <w:trPr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Увеличение числа граждан, участвующих в деятельности СО НКО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чел.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26,0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FE76C3">
        <w:trPr>
          <w:trHeight w:val="200"/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Доля населения, охваченная услугами СО НКО при реализации ими</w:t>
            </w:r>
            <w:r>
              <w:rPr>
                <w:sz w:val="28"/>
              </w:rPr>
              <w:t xml:space="preserve"> социальных программ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E76C3">
        <w:trPr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Доля муниципальных районов и городских округов, реализующих меры по поддержке СО НКО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</w:tr>
      <w:tr w:rsidR="00FE76C3">
        <w:trPr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Ежегодный прирост объема средств, привлеченных СО НКО Ростовской области из негосударственных источников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E76C3">
        <w:trPr>
          <w:trHeight w:val="200"/>
          <w:tblHeader/>
        </w:trPr>
        <w:tc>
          <w:tcPr>
            <w:tcW w:w="5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254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Доля негосударственных организаций социального обслуживания, предоставляющих социальные услуги населению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9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065" w:type="dxa"/>
            <w:tcMar>
              <w:left w:w="57" w:type="dxa"/>
              <w:right w:w="57" w:type="dxa"/>
            </w:tcMar>
          </w:tcPr>
          <w:p w:rsidR="00FE76C3" w:rsidRDefault="000B7962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:rsidR="00FE76C3" w:rsidRDefault="00FE76C3">
      <w:pPr>
        <w:tabs>
          <w:tab w:val="left" w:pos="9072"/>
        </w:tabs>
        <w:rPr>
          <w:sz w:val="28"/>
        </w:rPr>
      </w:pPr>
    </w:p>
    <w:sectPr w:rsidR="00FE76C3">
      <w:headerReference w:type="default" r:id="rId6"/>
      <w:pgSz w:w="16840" w:h="11907" w:orient="landscape"/>
      <w:pgMar w:top="1134" w:right="682" w:bottom="567" w:left="709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962" w:rsidRDefault="000B7962">
      <w:r>
        <w:separator/>
      </w:r>
    </w:p>
  </w:endnote>
  <w:endnote w:type="continuationSeparator" w:id="0">
    <w:p w:rsidR="000B7962" w:rsidRDefault="000B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962" w:rsidRDefault="000B7962">
      <w:r>
        <w:separator/>
      </w:r>
    </w:p>
  </w:footnote>
  <w:footnote w:type="continuationSeparator" w:id="0">
    <w:p w:rsidR="000B7962" w:rsidRDefault="000B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C3" w:rsidRDefault="000B7962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412ED3">
      <w:fldChar w:fldCharType="separate"/>
    </w:r>
    <w:r w:rsidR="00412ED3">
      <w:rPr>
        <w:noProof/>
      </w:rPr>
      <w:t>1</w:t>
    </w:r>
    <w:r>
      <w:fldChar w:fldCharType="end"/>
    </w:r>
  </w:p>
  <w:p w:rsidR="00FE76C3" w:rsidRDefault="00FE76C3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C3"/>
    <w:rsid w:val="000B7962"/>
    <w:rsid w:val="00412ED3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55C57-51FF-4DDA-8C8E-96846C97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Standard">
    <w:name w:val="Standard"/>
    <w:link w:val="Standard0"/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7">
    <w:name w:val="annotation text"/>
    <w:basedOn w:val="a"/>
    <w:link w:val="a8"/>
    <w:rPr>
      <w:rFonts w:ascii="Liberation Serif" w:hAnsi="Liberation Serif"/>
    </w:rPr>
  </w:style>
  <w:style w:type="character" w:customStyle="1" w:styleId="a8">
    <w:name w:val="Текст примечания Знак"/>
    <w:basedOn w:val="1"/>
    <w:link w:val="a7"/>
    <w:rPr>
      <w:rFonts w:ascii="Liberation Serif" w:hAnsi="Liberation Serif"/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4">
    <w:name w:val="Гиперссылка1"/>
    <w:basedOn w:val="13"/>
    <w:link w:val="ac"/>
    <w:rPr>
      <w:color w:val="0000FF" w:themeColor="hyperlink"/>
      <w:u w:val="single"/>
    </w:rPr>
  </w:style>
  <w:style w:type="character" w:styleId="ac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ad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Body Text Indent"/>
    <w:basedOn w:val="a"/>
    <w:link w:val="af0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af1"/>
    <w:rPr>
      <w:color w:val="605E5C"/>
      <w:shd w:val="clear" w:color="auto" w:fill="E1DFDD"/>
    </w:rPr>
  </w:style>
  <w:style w:type="character" w:styleId="af1">
    <w:name w:val="Unresolved Mention"/>
    <w:basedOn w:val="a0"/>
    <w:link w:val="17"/>
    <w:rPr>
      <w:color w:val="605E5C"/>
      <w:shd w:val="clear" w:color="auto" w:fill="E1DFDD"/>
    </w:rPr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2026-06-25T14:01:00Z</dcterms:created>
  <dcterms:modified xsi:type="dcterms:W3CDTF">2026-06-25T14:01:00Z</dcterms:modified>
</cp:coreProperties>
</file>